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6B235"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附件1：</w:t>
      </w:r>
    </w:p>
    <w:p w14:paraId="0234AB2E">
      <w:pPr>
        <w:widowControl/>
        <w:spacing w:line="345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报价银行基本要求</w:t>
      </w:r>
    </w:p>
    <w:p w14:paraId="550770D1">
      <w:pPr>
        <w:widowControl/>
        <w:spacing w:line="345" w:lineRule="atLeast"/>
        <w:jc w:val="center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1739E0E7"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1.在青岛市区域设有分支机构；</w:t>
      </w:r>
    </w:p>
    <w:p w14:paraId="2CD3FAEA">
      <w:pPr>
        <w:pStyle w:val="10"/>
        <w:numPr>
          <w:ilvl w:val="0"/>
          <w:numId w:val="0"/>
        </w:numPr>
        <w:spacing w:line="240" w:lineRule="atLeast"/>
        <w:ind w:left="-4" w:leftChars="-2"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2.依法开展经营活动，银监部门年度监管评级2级（含）以上或人民银行年度综合评价B级（含）以上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z w:val="32"/>
          <w:szCs w:val="32"/>
        </w:rPr>
        <w:t>；</w:t>
      </w:r>
    </w:p>
    <w:p w14:paraId="1B5823D6">
      <w:pPr>
        <w:pStyle w:val="10"/>
        <w:numPr>
          <w:ilvl w:val="0"/>
          <w:numId w:val="0"/>
        </w:numPr>
        <w:spacing w:line="240" w:lineRule="atLeast"/>
        <w:ind w:left="2" w:firstLine="579" w:firstLineChars="181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3.财务稳健，资本充足率、流动性比例等指标达到监管标准；</w:t>
      </w:r>
    </w:p>
    <w:p w14:paraId="5FB0E6D3"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4.内部管理机制健全，具有较强的风险控制能力，近3年内未发生金融风险及重大违约事件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；</w:t>
      </w:r>
    </w:p>
    <w:p w14:paraId="73ABA9A0"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5.与集团及分子公司存在战略合作关系或存在融资等业务往来，包括但不限于银行贷款等间接融资业务及发行企业债、中票、融资租赁等直接融资业务的银行业金融机构及其分支机构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且集团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Hans"/>
        </w:rPr>
        <w:t>在该金融机构已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开立银行账户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。同一金融机构仅能授权一家分支机构参与，多家分支机构同时参与的，以金融机构授权委托书为准。</w:t>
      </w:r>
    </w:p>
    <w:p w14:paraId="76F2C0C4"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057F73AE">
      <w:pPr>
        <w:pStyle w:val="10"/>
        <w:numPr>
          <w:ilvl w:val="0"/>
          <w:numId w:val="0"/>
        </w:numPr>
        <w:spacing w:line="240" w:lineRule="atLeast"/>
        <w:ind w:firstLine="566" w:firstLineChars="177"/>
        <w:rPr>
          <w:rFonts w:ascii="仿宋_GB2312" w:hAnsi="Arial" w:eastAsia="仿宋_GB2312" w:cs="Arial"/>
          <w:color w:val="000000"/>
          <w:sz w:val="32"/>
          <w:szCs w:val="32"/>
        </w:rPr>
      </w:pPr>
    </w:p>
    <w:p w14:paraId="64A83856"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25457A12"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6D93CD62">
      <w:pPr>
        <w:widowControl/>
        <w:spacing w:line="345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 w14:paraId="4BEA1E40">
      <w:pPr>
        <w:jc w:val="left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808DE"/>
    <w:multiLevelType w:val="multilevel"/>
    <w:tmpl w:val="7EC808DE"/>
    <w:lvl w:ilvl="0" w:tentative="0">
      <w:start w:val="2"/>
      <w:numFmt w:val="lowerLetter"/>
      <w:pStyle w:val="1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94"/>
    <w:rsid w:val="00020BE6"/>
    <w:rsid w:val="00066BAF"/>
    <w:rsid w:val="000A3C84"/>
    <w:rsid w:val="000B0E3A"/>
    <w:rsid w:val="000B2587"/>
    <w:rsid w:val="000D7C71"/>
    <w:rsid w:val="00237101"/>
    <w:rsid w:val="002371AA"/>
    <w:rsid w:val="00271A3F"/>
    <w:rsid w:val="002B6A7A"/>
    <w:rsid w:val="002E30EA"/>
    <w:rsid w:val="002E652A"/>
    <w:rsid w:val="003454D8"/>
    <w:rsid w:val="00367721"/>
    <w:rsid w:val="003707BC"/>
    <w:rsid w:val="00391570"/>
    <w:rsid w:val="003C5841"/>
    <w:rsid w:val="00464F57"/>
    <w:rsid w:val="00470BE9"/>
    <w:rsid w:val="00475960"/>
    <w:rsid w:val="004769B3"/>
    <w:rsid w:val="004857EC"/>
    <w:rsid w:val="004E5CB2"/>
    <w:rsid w:val="005B1C52"/>
    <w:rsid w:val="005D1F6A"/>
    <w:rsid w:val="005F0812"/>
    <w:rsid w:val="0060317F"/>
    <w:rsid w:val="00623C70"/>
    <w:rsid w:val="00664282"/>
    <w:rsid w:val="006940D4"/>
    <w:rsid w:val="006F1F3D"/>
    <w:rsid w:val="006F256A"/>
    <w:rsid w:val="00731BDC"/>
    <w:rsid w:val="00737525"/>
    <w:rsid w:val="00746C4C"/>
    <w:rsid w:val="007721B5"/>
    <w:rsid w:val="007B2642"/>
    <w:rsid w:val="007C1101"/>
    <w:rsid w:val="007D6F97"/>
    <w:rsid w:val="008360BC"/>
    <w:rsid w:val="00910943"/>
    <w:rsid w:val="00984E2C"/>
    <w:rsid w:val="009905FD"/>
    <w:rsid w:val="009B1EE1"/>
    <w:rsid w:val="00A25B83"/>
    <w:rsid w:val="00A5108B"/>
    <w:rsid w:val="00A61852"/>
    <w:rsid w:val="00A91A97"/>
    <w:rsid w:val="00AF356B"/>
    <w:rsid w:val="00B71387"/>
    <w:rsid w:val="00BF6FD9"/>
    <w:rsid w:val="00C00109"/>
    <w:rsid w:val="00C10B94"/>
    <w:rsid w:val="00C363C7"/>
    <w:rsid w:val="00C61BE6"/>
    <w:rsid w:val="00CA46D8"/>
    <w:rsid w:val="00CD0E26"/>
    <w:rsid w:val="00CD16C1"/>
    <w:rsid w:val="00D06BAA"/>
    <w:rsid w:val="00D13B3F"/>
    <w:rsid w:val="00D63251"/>
    <w:rsid w:val="00DA3972"/>
    <w:rsid w:val="00E80FE8"/>
    <w:rsid w:val="00E84D2E"/>
    <w:rsid w:val="00E918FB"/>
    <w:rsid w:val="00F03E55"/>
    <w:rsid w:val="00F07E76"/>
    <w:rsid w:val="00F4277E"/>
    <w:rsid w:val="00F95727"/>
    <w:rsid w:val="011011E9"/>
    <w:rsid w:val="02DE1A52"/>
    <w:rsid w:val="0885705F"/>
    <w:rsid w:val="097725B3"/>
    <w:rsid w:val="10EB633E"/>
    <w:rsid w:val="17081C08"/>
    <w:rsid w:val="18305001"/>
    <w:rsid w:val="31DA5A66"/>
    <w:rsid w:val="3DFF251A"/>
    <w:rsid w:val="3FA35538"/>
    <w:rsid w:val="3FE4657E"/>
    <w:rsid w:val="450C177B"/>
    <w:rsid w:val="450D0399"/>
    <w:rsid w:val="4ECA2ABE"/>
    <w:rsid w:val="52536FE7"/>
    <w:rsid w:val="5A2616D6"/>
    <w:rsid w:val="5C2426FD"/>
    <w:rsid w:val="643263CA"/>
    <w:rsid w:val="67016EC4"/>
    <w:rsid w:val="744F4F4F"/>
    <w:rsid w:val="7A415B63"/>
    <w:rsid w:val="7BB82EB7"/>
    <w:rsid w:val="DDFE2772"/>
    <w:rsid w:val="FFD7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281</Characters>
  <Lines>4</Lines>
  <Paragraphs>1</Paragraphs>
  <TotalTime>0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2017-10-10T17:09:00Z</dcterms:created>
  <dc:creator>杨曼宁</dc:creator>
  <cp:lastModifiedBy>杨帆</cp:lastModifiedBy>
  <cp:lastPrinted>2022-11-30T10:18:00Z</cp:lastPrinted>
  <dcterms:modified xsi:type="dcterms:W3CDTF">2025-06-24T11:51:21Z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eyJoZGlkIjoiMjM2Zjk0ZWE2M2JmMWIwNDllZTEwOGExZTU0NTlkMWQiLCJ1c2VySWQiOiIzOTQxNTgwODgifQ==</vt:lpwstr>
  </property>
  <property fmtid="{D5CDD505-2E9C-101B-9397-08002B2CF9AE}" pid="4" name="ICV">
    <vt:lpwstr>7261CACFFA6F4BE09CCE245C4F381940_12</vt:lpwstr>
  </property>
</Properties>
</file>